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50" w:rsidRDefault="006C6EC8" w:rsidP="006C6EC8">
      <w:pPr>
        <w:pBdr>
          <w:bottom w:val="single" w:sz="12" w:space="1" w:color="auto"/>
        </w:pBdr>
        <w:jc w:val="right"/>
        <w:rPr>
          <w:rtl/>
        </w:rPr>
      </w:pPr>
      <w:bookmarkStart w:id="0" w:name="_GoBack"/>
      <w:bookmarkEnd w:id="0"/>
      <w:r>
        <w:rPr>
          <w:rFonts w:hint="cs"/>
          <w:rtl/>
        </w:rPr>
        <w:t>ד"ר עמוס הרמן</w:t>
      </w:r>
    </w:p>
    <w:p w:rsidR="006C6EC8" w:rsidRDefault="006C6EC8" w:rsidP="006C6EC8">
      <w:pPr>
        <w:jc w:val="right"/>
        <w:rPr>
          <w:rtl/>
        </w:rPr>
      </w:pPr>
      <w:r>
        <w:rPr>
          <w:rFonts w:hint="cs"/>
          <w:rtl/>
        </w:rPr>
        <w:t>מספר טלפון : 09-7750340</w:t>
      </w:r>
    </w:p>
    <w:p w:rsidR="006C6EC8" w:rsidRDefault="006C6EC8" w:rsidP="000D2134">
      <w:pPr>
        <w:jc w:val="right"/>
        <w:rPr>
          <w:rtl/>
        </w:rPr>
      </w:pPr>
      <w:r>
        <w:rPr>
          <w:rFonts w:hint="cs"/>
          <w:rtl/>
        </w:rPr>
        <w:t xml:space="preserve">מספר פקס : </w:t>
      </w:r>
      <w:r w:rsidR="000D2134">
        <w:rPr>
          <w:rFonts w:hint="cs"/>
          <w:rtl/>
        </w:rPr>
        <w:t xml:space="preserve"> </w:t>
      </w:r>
      <w:r>
        <w:rPr>
          <w:rFonts w:hint="cs"/>
          <w:rtl/>
        </w:rPr>
        <w:t>09-7750344</w:t>
      </w:r>
    </w:p>
    <w:p w:rsidR="006C6EC8" w:rsidRDefault="006C6EC8" w:rsidP="006C6EC8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תחום התמחות מקצועי</w:t>
      </w:r>
    </w:p>
    <w:p w:rsidR="006C6EC8" w:rsidRDefault="006C6EC8" w:rsidP="006C6EC8">
      <w:pPr>
        <w:jc w:val="right"/>
        <w:rPr>
          <w:rtl/>
        </w:rPr>
      </w:pPr>
      <w:r>
        <w:rPr>
          <w:rFonts w:hint="cs"/>
          <w:rtl/>
        </w:rPr>
        <w:t>דיני נזיקין, דיני ביטוח, דיני ראיות</w:t>
      </w:r>
    </w:p>
    <w:p w:rsidR="006C6EC8" w:rsidRDefault="006C6EC8" w:rsidP="006C6EC8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השכלה</w:t>
      </w:r>
    </w:p>
    <w:p w:rsidR="006C6EC8" w:rsidRDefault="006C6EC8" w:rsidP="006C6EC8">
      <w:pPr>
        <w:bidi/>
        <w:jc w:val="left"/>
        <w:rPr>
          <w:rtl/>
        </w:rPr>
      </w:pPr>
      <w:r>
        <w:t>SJD</w:t>
      </w:r>
      <w:r>
        <w:rPr>
          <w:rFonts w:hint="cs"/>
          <w:rtl/>
        </w:rPr>
        <w:t xml:space="preserve">      אוניברסיטת וירג'יניה</w:t>
      </w:r>
      <w:proofErr w:type="gramStart"/>
      <w:r>
        <w:rPr>
          <w:rFonts w:hint="cs"/>
          <w:rtl/>
        </w:rPr>
        <w:t>,  ארה</w:t>
      </w:r>
      <w:proofErr w:type="gramEnd"/>
      <w:r>
        <w:rPr>
          <w:rFonts w:hint="cs"/>
          <w:rtl/>
        </w:rPr>
        <w:t>"ב, 1977</w:t>
      </w:r>
    </w:p>
    <w:p w:rsidR="006C6EC8" w:rsidRDefault="006C6EC8" w:rsidP="006C6EC8">
      <w:pPr>
        <w:bidi/>
        <w:jc w:val="left"/>
        <w:rPr>
          <w:rtl/>
        </w:rPr>
      </w:pPr>
      <w:r>
        <w:t>LL.B</w:t>
      </w:r>
      <w:r>
        <w:rPr>
          <w:rFonts w:hint="cs"/>
          <w:rtl/>
        </w:rPr>
        <w:t xml:space="preserve">    האוניברסיטה </w:t>
      </w:r>
      <w:proofErr w:type="gramStart"/>
      <w:r>
        <w:rPr>
          <w:rFonts w:hint="cs"/>
          <w:rtl/>
        </w:rPr>
        <w:t>העברית ,</w:t>
      </w:r>
      <w:proofErr w:type="gramEnd"/>
      <w:r>
        <w:rPr>
          <w:rFonts w:hint="cs"/>
          <w:rtl/>
        </w:rPr>
        <w:t xml:space="preserve"> ירושלים</w:t>
      </w:r>
      <w:r w:rsidR="00F15CDC">
        <w:rPr>
          <w:rFonts w:hint="cs"/>
          <w:rtl/>
        </w:rPr>
        <w:t>, 1973</w:t>
      </w:r>
    </w:p>
    <w:p w:rsidR="00F15CDC" w:rsidRDefault="00F15CDC" w:rsidP="00F15CDC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מינויים אקדמיים</w:t>
      </w:r>
    </w:p>
    <w:p w:rsidR="00F15CDC" w:rsidRDefault="00F15CDC" w:rsidP="00F15CDC">
      <w:pPr>
        <w:bidi/>
        <w:jc w:val="left"/>
        <w:rPr>
          <w:rtl/>
        </w:rPr>
      </w:pPr>
      <w:r>
        <w:rPr>
          <w:rFonts w:hint="cs"/>
          <w:rtl/>
        </w:rPr>
        <w:t xml:space="preserve">2007 </w:t>
      </w:r>
      <w:r>
        <w:rPr>
          <w:rtl/>
        </w:rPr>
        <w:t>–</w:t>
      </w:r>
      <w:r w:rsidR="00FF64A0">
        <w:rPr>
          <w:rFonts w:hint="cs"/>
          <w:rtl/>
        </w:rPr>
        <w:t xml:space="preserve"> ה</w:t>
      </w:r>
      <w:r>
        <w:rPr>
          <w:rFonts w:hint="cs"/>
          <w:rtl/>
        </w:rPr>
        <w:t xml:space="preserve">יום    </w:t>
      </w:r>
      <w:r w:rsidR="00FF64A0">
        <w:rPr>
          <w:rFonts w:hint="cs"/>
          <w:rtl/>
        </w:rPr>
        <w:t xml:space="preserve"> </w:t>
      </w:r>
      <w:r>
        <w:rPr>
          <w:rFonts w:hint="cs"/>
          <w:rtl/>
        </w:rPr>
        <w:t>מרצה בכיר, המרכז האקדמי שערי משפט</w:t>
      </w:r>
    </w:p>
    <w:p w:rsidR="00F15CDC" w:rsidRDefault="00FF64A0" w:rsidP="00BF2303">
      <w:pPr>
        <w:bidi/>
        <w:jc w:val="left"/>
        <w:rPr>
          <w:rtl/>
        </w:rPr>
      </w:pPr>
      <w:r>
        <w:rPr>
          <w:rFonts w:hint="cs"/>
          <w:rtl/>
        </w:rPr>
        <w:t xml:space="preserve">1996 </w:t>
      </w:r>
      <w:r>
        <w:rPr>
          <w:rtl/>
        </w:rPr>
        <w:t>–</w:t>
      </w:r>
      <w:r>
        <w:rPr>
          <w:rFonts w:hint="cs"/>
          <w:rtl/>
        </w:rPr>
        <w:t xml:space="preserve"> 2007   </w:t>
      </w:r>
      <w:r w:rsidR="00F15CDC">
        <w:rPr>
          <w:rFonts w:hint="cs"/>
          <w:rtl/>
        </w:rPr>
        <w:t>מרצה, המרכז האקדמי שערי משפט</w:t>
      </w:r>
    </w:p>
    <w:p w:rsidR="00F15CDC" w:rsidRDefault="00FF64A0" w:rsidP="00FF64A0">
      <w:pPr>
        <w:bidi/>
        <w:jc w:val="left"/>
        <w:rPr>
          <w:rtl/>
        </w:rPr>
      </w:pPr>
      <w:r>
        <w:rPr>
          <w:rFonts w:hint="cs"/>
          <w:rtl/>
        </w:rPr>
        <w:t>1999</w:t>
      </w:r>
      <w:r w:rsidR="00F15CDC">
        <w:rPr>
          <w:rFonts w:hint="cs"/>
          <w:rtl/>
        </w:rPr>
        <w:t xml:space="preserve"> </w:t>
      </w:r>
      <w:r w:rsidR="00F15CDC">
        <w:rPr>
          <w:rtl/>
        </w:rPr>
        <w:t>–</w:t>
      </w:r>
      <w:r w:rsidR="000D2134">
        <w:rPr>
          <w:rFonts w:hint="cs"/>
          <w:rtl/>
        </w:rPr>
        <w:t xml:space="preserve"> </w:t>
      </w:r>
      <w:r w:rsidR="002A6140">
        <w:rPr>
          <w:rFonts w:hint="cs"/>
          <w:rtl/>
        </w:rPr>
        <w:t>20</w:t>
      </w:r>
      <w:r>
        <w:rPr>
          <w:rFonts w:hint="cs"/>
          <w:rtl/>
        </w:rPr>
        <w:t>15</w:t>
      </w:r>
      <w:r w:rsidR="00F15CDC">
        <w:rPr>
          <w:rFonts w:hint="cs"/>
          <w:rtl/>
        </w:rPr>
        <w:t xml:space="preserve">   מרצה מן החוץ, הפקולטה למשפטים, אוניברסיטת בר אילן</w:t>
      </w:r>
    </w:p>
    <w:p w:rsidR="00F15CDC" w:rsidRDefault="00FF64A0" w:rsidP="00FF64A0">
      <w:pPr>
        <w:bidi/>
        <w:jc w:val="left"/>
        <w:rPr>
          <w:rtl/>
        </w:rPr>
      </w:pPr>
      <w:r>
        <w:rPr>
          <w:rFonts w:hint="cs"/>
          <w:rtl/>
        </w:rPr>
        <w:t>1979</w:t>
      </w:r>
      <w:r w:rsidR="00F15CDC">
        <w:rPr>
          <w:rFonts w:hint="cs"/>
          <w:rtl/>
        </w:rPr>
        <w:t xml:space="preserve"> </w:t>
      </w:r>
      <w:r w:rsidR="00F15CDC">
        <w:rPr>
          <w:rtl/>
        </w:rPr>
        <w:t>–</w:t>
      </w:r>
      <w:r w:rsidR="00F15CDC">
        <w:rPr>
          <w:rFonts w:hint="cs"/>
          <w:rtl/>
        </w:rPr>
        <w:t xml:space="preserve"> </w:t>
      </w:r>
      <w:r>
        <w:rPr>
          <w:rFonts w:hint="cs"/>
          <w:rtl/>
        </w:rPr>
        <w:t>2014</w:t>
      </w:r>
      <w:r w:rsidR="00F15CDC">
        <w:rPr>
          <w:rFonts w:hint="cs"/>
          <w:rtl/>
        </w:rPr>
        <w:t xml:space="preserve">  </w:t>
      </w:r>
      <w:r>
        <w:rPr>
          <w:rFonts w:hint="cs"/>
          <w:rtl/>
        </w:rPr>
        <w:t xml:space="preserve"> </w:t>
      </w:r>
      <w:r w:rsidR="00F15CDC">
        <w:rPr>
          <w:rFonts w:hint="cs"/>
          <w:rtl/>
        </w:rPr>
        <w:t>מרצה מן החוץ, הפקולטה למשפטים אוניברסיטת ת"א</w:t>
      </w:r>
    </w:p>
    <w:p w:rsidR="00F15CDC" w:rsidRDefault="000D2134" w:rsidP="00F15CDC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ניסיון מקצועי נוסף</w:t>
      </w:r>
    </w:p>
    <w:p w:rsidR="007D5B9C" w:rsidRDefault="00FF64A0" w:rsidP="00FF64A0">
      <w:pPr>
        <w:bidi/>
        <w:jc w:val="left"/>
        <w:rPr>
          <w:rtl/>
        </w:rPr>
      </w:pPr>
      <w:r>
        <w:rPr>
          <w:rFonts w:hint="cs"/>
          <w:rtl/>
        </w:rPr>
        <w:t>1987</w:t>
      </w:r>
      <w:r w:rsidR="007D5B9C">
        <w:rPr>
          <w:rFonts w:hint="cs"/>
          <w:rtl/>
        </w:rPr>
        <w:t xml:space="preserve"> </w:t>
      </w:r>
      <w:r w:rsidR="007D5B9C">
        <w:rPr>
          <w:rtl/>
        </w:rPr>
        <w:t>–</w:t>
      </w:r>
      <w:r w:rsidR="007D5B9C">
        <w:rPr>
          <w:rFonts w:hint="cs"/>
          <w:rtl/>
        </w:rPr>
        <w:t xml:space="preserve"> </w:t>
      </w:r>
      <w:r>
        <w:rPr>
          <w:rFonts w:hint="cs"/>
          <w:rtl/>
        </w:rPr>
        <w:t>1996</w:t>
      </w:r>
      <w:r w:rsidR="007D5B9C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7D5B9C">
        <w:rPr>
          <w:rFonts w:hint="cs"/>
          <w:rtl/>
        </w:rPr>
        <w:t>משנה למנכ"ל, ענבל חברה לביטוח בע"מ</w:t>
      </w:r>
    </w:p>
    <w:p w:rsidR="007D5B9C" w:rsidRPr="007D5B9C" w:rsidRDefault="007D5B9C" w:rsidP="00FF64A0">
      <w:pPr>
        <w:bidi/>
        <w:jc w:val="left"/>
        <w:rPr>
          <w:rtl/>
        </w:rPr>
      </w:pPr>
      <w:r>
        <w:rPr>
          <w:rFonts w:hint="cs"/>
          <w:rtl/>
        </w:rPr>
        <w:t>198</w:t>
      </w:r>
      <w:r w:rsidR="00FF64A0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198</w:t>
      </w:r>
      <w:r w:rsidR="00FF64A0">
        <w:rPr>
          <w:rFonts w:hint="cs"/>
          <w:rtl/>
        </w:rPr>
        <w:t>7</w:t>
      </w:r>
      <w:r>
        <w:rPr>
          <w:rFonts w:hint="cs"/>
          <w:rtl/>
        </w:rPr>
        <w:t xml:space="preserve">  יועץ משפטי ומזכיר החברה, ציון חברה לביטוח בע"מ</w:t>
      </w:r>
    </w:p>
    <w:p w:rsidR="00F15CDC" w:rsidRDefault="00F15CDC" w:rsidP="00FF64A0">
      <w:pPr>
        <w:bidi/>
        <w:jc w:val="left"/>
        <w:rPr>
          <w:rtl/>
        </w:rPr>
      </w:pPr>
      <w:r>
        <w:rPr>
          <w:rFonts w:hint="cs"/>
          <w:rtl/>
        </w:rPr>
        <w:t>19</w:t>
      </w:r>
      <w:r w:rsidR="00FF64A0">
        <w:rPr>
          <w:rFonts w:hint="cs"/>
          <w:rtl/>
        </w:rPr>
        <w:t>78</w:t>
      </w:r>
      <w:r>
        <w:rPr>
          <w:rFonts w:hint="cs"/>
          <w:rtl/>
        </w:rPr>
        <w:t xml:space="preserve"> </w:t>
      </w:r>
      <w:r w:rsidR="000A0951">
        <w:rPr>
          <w:rtl/>
        </w:rPr>
        <w:t>–</w:t>
      </w:r>
      <w:r>
        <w:rPr>
          <w:rFonts w:hint="cs"/>
          <w:rtl/>
        </w:rPr>
        <w:t xml:space="preserve"> </w:t>
      </w:r>
      <w:r w:rsidR="000A0951">
        <w:rPr>
          <w:rFonts w:hint="cs"/>
          <w:rtl/>
        </w:rPr>
        <w:t>19</w:t>
      </w:r>
      <w:r w:rsidR="00FF64A0">
        <w:rPr>
          <w:rFonts w:hint="cs"/>
          <w:rtl/>
        </w:rPr>
        <w:t>85</w:t>
      </w:r>
      <w:r w:rsidR="000A0951">
        <w:rPr>
          <w:rFonts w:hint="cs"/>
          <w:rtl/>
        </w:rPr>
        <w:t xml:space="preserve">  עוזר המפקח על הביטוח, משרד האוצר</w:t>
      </w:r>
    </w:p>
    <w:p w:rsidR="000D2134" w:rsidRDefault="000D2134" w:rsidP="000D2134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הוראה במרכז האקדמי שערי משפט</w:t>
      </w:r>
    </w:p>
    <w:p w:rsidR="000D2134" w:rsidRDefault="000D2134" w:rsidP="000D2134">
      <w:pPr>
        <w:bidi/>
        <w:jc w:val="left"/>
        <w:rPr>
          <w:u w:val="single"/>
          <w:rtl/>
        </w:rPr>
      </w:pPr>
      <w:r>
        <w:rPr>
          <w:rFonts w:hint="cs"/>
          <w:u w:val="single"/>
          <w:rtl/>
        </w:rPr>
        <w:t>קורסי חובה</w:t>
      </w:r>
    </w:p>
    <w:p w:rsidR="000D2134" w:rsidRDefault="000D2134" w:rsidP="000D2134">
      <w:pPr>
        <w:bidi/>
        <w:jc w:val="left"/>
        <w:rPr>
          <w:rtl/>
        </w:rPr>
      </w:pPr>
      <w:r w:rsidRPr="007D5B9C">
        <w:rPr>
          <w:rFonts w:hint="cs"/>
          <w:rtl/>
        </w:rPr>
        <w:t>דיני נזיקין</w:t>
      </w:r>
    </w:p>
    <w:p w:rsidR="000D2134" w:rsidRDefault="000D2134" w:rsidP="000D2134">
      <w:pPr>
        <w:bidi/>
        <w:jc w:val="left"/>
        <w:rPr>
          <w:rtl/>
        </w:rPr>
      </w:pPr>
      <w:r>
        <w:rPr>
          <w:rFonts w:hint="cs"/>
          <w:rtl/>
        </w:rPr>
        <w:t>דיני ראיות</w:t>
      </w:r>
    </w:p>
    <w:p w:rsidR="000D2134" w:rsidRDefault="000D2134" w:rsidP="000D2134">
      <w:pPr>
        <w:bidi/>
        <w:jc w:val="left"/>
        <w:rPr>
          <w:u w:val="single"/>
          <w:rtl/>
        </w:rPr>
      </w:pPr>
      <w:r>
        <w:rPr>
          <w:rFonts w:hint="cs"/>
          <w:u w:val="single"/>
          <w:rtl/>
        </w:rPr>
        <w:t>קורסי בחירה</w:t>
      </w:r>
    </w:p>
    <w:p w:rsidR="000D2134" w:rsidRDefault="000D2134" w:rsidP="000D2134">
      <w:pPr>
        <w:bidi/>
        <w:jc w:val="left"/>
        <w:rPr>
          <w:rtl/>
        </w:rPr>
      </w:pPr>
      <w:r>
        <w:rPr>
          <w:rFonts w:hint="cs"/>
          <w:rtl/>
        </w:rPr>
        <w:t>דיני ביטוח</w:t>
      </w:r>
    </w:p>
    <w:p w:rsidR="000D2134" w:rsidRDefault="000D2134" w:rsidP="000D2134">
      <w:pPr>
        <w:bidi/>
        <w:jc w:val="left"/>
        <w:rPr>
          <w:u w:val="single"/>
          <w:rtl/>
        </w:rPr>
      </w:pPr>
      <w:r>
        <w:rPr>
          <w:rFonts w:hint="cs"/>
          <w:u w:val="single"/>
          <w:rtl/>
        </w:rPr>
        <w:t>סמינרים</w:t>
      </w:r>
    </w:p>
    <w:p w:rsidR="000D2134" w:rsidRDefault="000D2134" w:rsidP="000D2134">
      <w:pPr>
        <w:bidi/>
        <w:jc w:val="left"/>
        <w:rPr>
          <w:rtl/>
        </w:rPr>
      </w:pPr>
      <w:r>
        <w:rPr>
          <w:rFonts w:hint="cs"/>
          <w:rtl/>
        </w:rPr>
        <w:t>רשלנות רפואית</w:t>
      </w:r>
    </w:p>
    <w:p w:rsidR="000D2134" w:rsidRDefault="000D2134" w:rsidP="000D2134">
      <w:pPr>
        <w:bidi/>
        <w:jc w:val="left"/>
        <w:rPr>
          <w:rtl/>
        </w:rPr>
      </w:pPr>
      <w:r>
        <w:rPr>
          <w:rFonts w:hint="cs"/>
          <w:rtl/>
        </w:rPr>
        <w:t>דיני ביטוח</w:t>
      </w:r>
    </w:p>
    <w:p w:rsidR="000D2134" w:rsidRPr="007D5B9C" w:rsidRDefault="000D2134" w:rsidP="000D2134">
      <w:pPr>
        <w:bidi/>
        <w:jc w:val="left"/>
        <w:rPr>
          <w:rtl/>
        </w:rPr>
      </w:pPr>
      <w:r>
        <w:rPr>
          <w:rFonts w:hint="cs"/>
          <w:rtl/>
        </w:rPr>
        <w:t>אמנות וחוק</w:t>
      </w:r>
    </w:p>
    <w:p w:rsidR="000D2134" w:rsidRDefault="000D2134" w:rsidP="000D2134">
      <w:pPr>
        <w:bidi/>
        <w:jc w:val="left"/>
        <w:rPr>
          <w:rtl/>
        </w:rPr>
      </w:pPr>
    </w:p>
    <w:p w:rsidR="00772A92" w:rsidRDefault="007B4621" w:rsidP="007B4621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תפקידים נוספים במרכז האקדמי שערי משפט</w:t>
      </w:r>
    </w:p>
    <w:p w:rsidR="007B4621" w:rsidRDefault="007B4621" w:rsidP="007B4621">
      <w:pPr>
        <w:bidi/>
        <w:jc w:val="left"/>
        <w:rPr>
          <w:rtl/>
        </w:rPr>
      </w:pPr>
      <w:r>
        <w:rPr>
          <w:rFonts w:hint="cs"/>
          <w:rtl/>
        </w:rPr>
        <w:t xml:space="preserve">2000 </w:t>
      </w:r>
      <w:r>
        <w:rPr>
          <w:rtl/>
        </w:rPr>
        <w:t>–</w:t>
      </w:r>
      <w:r>
        <w:rPr>
          <w:rFonts w:hint="cs"/>
          <w:rtl/>
        </w:rPr>
        <w:t xml:space="preserve">   חבר ועדה אקדמית עליונה</w:t>
      </w:r>
    </w:p>
    <w:p w:rsidR="007B4621" w:rsidRDefault="007B4621" w:rsidP="007B4621">
      <w:pPr>
        <w:bidi/>
        <w:jc w:val="left"/>
        <w:rPr>
          <w:rtl/>
        </w:rPr>
      </w:pPr>
      <w:r>
        <w:rPr>
          <w:rFonts w:hint="cs"/>
          <w:rtl/>
        </w:rPr>
        <w:t xml:space="preserve">2010 </w:t>
      </w:r>
      <w:r>
        <w:rPr>
          <w:rtl/>
        </w:rPr>
        <w:t>–</w:t>
      </w:r>
      <w:r>
        <w:rPr>
          <w:rFonts w:hint="cs"/>
          <w:rtl/>
        </w:rPr>
        <w:t xml:space="preserve">  יועץ אקדמי לסטודנטים</w:t>
      </w:r>
    </w:p>
    <w:p w:rsidR="007B4621" w:rsidRDefault="007B4621" w:rsidP="00FF64A0">
      <w:pPr>
        <w:bidi/>
        <w:jc w:val="left"/>
        <w:rPr>
          <w:rtl/>
        </w:rPr>
      </w:pPr>
      <w:r>
        <w:rPr>
          <w:rFonts w:hint="cs"/>
          <w:rtl/>
        </w:rPr>
        <w:t>201</w:t>
      </w:r>
      <w:r w:rsidR="00FF64A0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FF64A0">
        <w:rPr>
          <w:rFonts w:hint="cs"/>
          <w:rtl/>
        </w:rPr>
        <w:t xml:space="preserve"> - היום</w:t>
      </w:r>
      <w:r>
        <w:rPr>
          <w:rFonts w:hint="cs"/>
          <w:rtl/>
        </w:rPr>
        <w:t xml:space="preserve"> עורך משותף, "שערי משפט", כתב העת של המרכז האקדמי שערי משפט</w:t>
      </w:r>
    </w:p>
    <w:p w:rsidR="007B4621" w:rsidRDefault="007B4621" w:rsidP="00FF64A0">
      <w:pPr>
        <w:bidi/>
        <w:jc w:val="left"/>
        <w:rPr>
          <w:rtl/>
        </w:rPr>
      </w:pPr>
      <w:r>
        <w:rPr>
          <w:rFonts w:hint="cs"/>
          <w:rtl/>
        </w:rPr>
        <w:t>20</w:t>
      </w:r>
      <w:r w:rsidR="00FF64A0">
        <w:rPr>
          <w:rFonts w:hint="cs"/>
          <w:rtl/>
        </w:rPr>
        <w:t>07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20</w:t>
      </w:r>
      <w:r w:rsidR="00FF64A0">
        <w:rPr>
          <w:rFonts w:hint="cs"/>
          <w:rtl/>
        </w:rPr>
        <w:t>12</w:t>
      </w:r>
      <w:r>
        <w:rPr>
          <w:rFonts w:hint="cs"/>
          <w:rtl/>
        </w:rPr>
        <w:t xml:space="preserve"> שופט, דן יחיד, ביה"ד המשמעתי</w:t>
      </w:r>
    </w:p>
    <w:p w:rsidR="007B4621" w:rsidRDefault="007B4621" w:rsidP="00FF64A0">
      <w:pPr>
        <w:bidi/>
        <w:jc w:val="left"/>
        <w:rPr>
          <w:rtl/>
        </w:rPr>
      </w:pPr>
      <w:r>
        <w:rPr>
          <w:rFonts w:hint="cs"/>
          <w:rtl/>
        </w:rPr>
        <w:t>200</w:t>
      </w:r>
      <w:r w:rsidR="00FF64A0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200</w:t>
      </w:r>
      <w:r w:rsidR="00FF64A0">
        <w:rPr>
          <w:rFonts w:hint="cs"/>
          <w:rtl/>
        </w:rPr>
        <w:t>8</w:t>
      </w:r>
      <w:r>
        <w:rPr>
          <w:rFonts w:hint="cs"/>
          <w:rtl/>
        </w:rPr>
        <w:t xml:space="preserve"> חבר ועדת צמיחה וועדת פיתוח אקדמי</w:t>
      </w:r>
    </w:p>
    <w:p w:rsidR="007B4621" w:rsidRDefault="007B4621" w:rsidP="00FF64A0">
      <w:pPr>
        <w:bidi/>
        <w:jc w:val="left"/>
        <w:rPr>
          <w:rtl/>
        </w:rPr>
      </w:pPr>
      <w:r>
        <w:rPr>
          <w:rFonts w:hint="cs"/>
          <w:rtl/>
        </w:rPr>
        <w:t>200</w:t>
      </w:r>
      <w:r w:rsidR="00FF64A0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200</w:t>
      </w:r>
      <w:r w:rsidR="00FF64A0">
        <w:rPr>
          <w:rFonts w:hint="cs"/>
          <w:rtl/>
        </w:rPr>
        <w:t>6</w:t>
      </w:r>
      <w:r>
        <w:rPr>
          <w:rFonts w:hint="cs"/>
          <w:rtl/>
        </w:rPr>
        <w:t xml:space="preserve"> דיקן הסטודנטים</w:t>
      </w:r>
    </w:p>
    <w:p w:rsidR="007B4621" w:rsidRDefault="007B4621" w:rsidP="00FF64A0">
      <w:pPr>
        <w:bidi/>
        <w:jc w:val="left"/>
        <w:rPr>
          <w:rtl/>
        </w:rPr>
      </w:pPr>
      <w:r>
        <w:rPr>
          <w:rFonts w:hint="cs"/>
          <w:rtl/>
        </w:rPr>
        <w:t>200</w:t>
      </w:r>
      <w:r w:rsidR="00FF64A0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200</w:t>
      </w:r>
      <w:r w:rsidR="00FF64A0">
        <w:rPr>
          <w:rFonts w:hint="cs"/>
          <w:rtl/>
        </w:rPr>
        <w:t>6</w:t>
      </w:r>
      <w:r>
        <w:rPr>
          <w:rFonts w:hint="cs"/>
          <w:rtl/>
        </w:rPr>
        <w:t xml:space="preserve"> חבר ועדת מלגות</w:t>
      </w:r>
    </w:p>
    <w:p w:rsidR="00772A92" w:rsidRDefault="007B4621" w:rsidP="00FF64A0">
      <w:pPr>
        <w:bidi/>
        <w:jc w:val="left"/>
        <w:rPr>
          <w:rtl/>
        </w:rPr>
      </w:pPr>
      <w:r>
        <w:rPr>
          <w:rFonts w:hint="cs"/>
          <w:rtl/>
        </w:rPr>
        <w:t>200</w:t>
      </w:r>
      <w:r w:rsidR="00FF64A0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200</w:t>
      </w:r>
      <w:r w:rsidR="00FF64A0">
        <w:rPr>
          <w:rFonts w:hint="cs"/>
          <w:rtl/>
        </w:rPr>
        <w:t>3</w:t>
      </w:r>
      <w:r>
        <w:rPr>
          <w:rFonts w:hint="cs"/>
          <w:rtl/>
        </w:rPr>
        <w:t xml:space="preserve"> עורך בטאון הבוגרים</w:t>
      </w:r>
    </w:p>
    <w:p w:rsidR="008574C2" w:rsidRDefault="00772A92" w:rsidP="007B4621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פרסומים נבחרים</w:t>
      </w:r>
    </w:p>
    <w:p w:rsidR="00772A92" w:rsidRDefault="00772A92" w:rsidP="00772A92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ספרים</w:t>
      </w:r>
    </w:p>
    <w:p w:rsidR="00772A92" w:rsidRDefault="00772A92" w:rsidP="00BF2303">
      <w:pPr>
        <w:pStyle w:val="ListParagraph"/>
        <w:numPr>
          <w:ilvl w:val="0"/>
          <w:numId w:val="2"/>
        </w:numPr>
        <w:bidi/>
        <w:jc w:val="left"/>
        <w:rPr>
          <w:rtl/>
        </w:rPr>
      </w:pPr>
      <w:r>
        <w:rPr>
          <w:rFonts w:hint="cs"/>
          <w:rtl/>
        </w:rPr>
        <w:t>מבוא לדיני נזיקין , 2006</w:t>
      </w:r>
    </w:p>
    <w:p w:rsidR="00772A92" w:rsidRDefault="00772A92" w:rsidP="00BF2303">
      <w:pPr>
        <w:pStyle w:val="ListParagraph"/>
        <w:numPr>
          <w:ilvl w:val="0"/>
          <w:numId w:val="2"/>
        </w:numPr>
        <w:bidi/>
        <w:jc w:val="left"/>
        <w:rPr>
          <w:rtl/>
        </w:rPr>
      </w:pPr>
      <w:r>
        <w:rPr>
          <w:rFonts w:hint="cs"/>
          <w:rtl/>
        </w:rPr>
        <w:t>דיני ביטוח</w:t>
      </w:r>
      <w:r w:rsidR="007D5B9C">
        <w:rPr>
          <w:rFonts w:hint="cs"/>
          <w:rtl/>
        </w:rPr>
        <w:t>, מהדורה שניה</w:t>
      </w:r>
      <w:r>
        <w:rPr>
          <w:rFonts w:hint="cs"/>
          <w:rtl/>
        </w:rPr>
        <w:t xml:space="preserve"> , 19</w:t>
      </w:r>
      <w:r w:rsidR="007D5B9C">
        <w:rPr>
          <w:rFonts w:hint="cs"/>
          <w:rtl/>
        </w:rPr>
        <w:t>95</w:t>
      </w:r>
    </w:p>
    <w:p w:rsidR="00772A92" w:rsidRDefault="007D5B9C" w:rsidP="00BF2303">
      <w:pPr>
        <w:pStyle w:val="ListParagraph"/>
        <w:numPr>
          <w:ilvl w:val="0"/>
          <w:numId w:val="2"/>
        </w:numPr>
        <w:bidi/>
        <w:jc w:val="left"/>
        <w:rPr>
          <w:rtl/>
        </w:rPr>
      </w:pPr>
      <w:r>
        <w:rPr>
          <w:rFonts w:hint="cs"/>
          <w:rtl/>
        </w:rPr>
        <w:t>דיני ביטוח, מהדורה ראשונה</w:t>
      </w:r>
      <w:r w:rsidR="00772A92">
        <w:rPr>
          <w:rFonts w:hint="cs"/>
          <w:rtl/>
        </w:rPr>
        <w:t>, 19</w:t>
      </w:r>
      <w:r>
        <w:rPr>
          <w:rFonts w:hint="cs"/>
          <w:rtl/>
        </w:rPr>
        <w:t>89</w:t>
      </w:r>
    </w:p>
    <w:p w:rsidR="008574C2" w:rsidRDefault="00772A92" w:rsidP="00BF2303">
      <w:pPr>
        <w:pStyle w:val="ListParagraph"/>
        <w:numPr>
          <w:ilvl w:val="0"/>
          <w:numId w:val="2"/>
        </w:numPr>
        <w:bidi/>
        <w:jc w:val="left"/>
      </w:pPr>
      <w:r>
        <w:t xml:space="preserve">Shipping Conferences, </w:t>
      </w:r>
      <w:r w:rsidR="007D5B9C">
        <w:t>Kluwer, 1983</w:t>
      </w:r>
    </w:p>
    <w:p w:rsidR="007D5B9C" w:rsidRDefault="007D5B9C" w:rsidP="007D5B9C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מאמרים</w:t>
      </w:r>
    </w:p>
    <w:p w:rsidR="008574C2" w:rsidRPr="008574C2" w:rsidRDefault="008574C2" w:rsidP="00BF2303">
      <w:pPr>
        <w:pStyle w:val="BodyText"/>
        <w:numPr>
          <w:ilvl w:val="0"/>
          <w:numId w:val="1"/>
        </w:numPr>
        <w:rPr>
          <w:rFonts w:asciiTheme="majorBidi" w:hAnsiTheme="majorBidi" w:cstheme="majorBidi"/>
          <w:szCs w:val="24"/>
          <w:rtl/>
        </w:rPr>
      </w:pPr>
      <w:r w:rsidRPr="008574C2">
        <w:rPr>
          <w:rFonts w:asciiTheme="majorBidi" w:hAnsiTheme="majorBidi" w:cstheme="majorBidi"/>
          <w:szCs w:val="24"/>
          <w:rtl/>
        </w:rPr>
        <w:t xml:space="preserve">"אחריות בנזיקין של ועדה מקומית לפגמים פיזיים במבנה" דין ודברים ח' 99 (2014) </w:t>
      </w:r>
    </w:p>
    <w:p w:rsidR="008574C2" w:rsidRPr="008574C2" w:rsidRDefault="008574C2" w:rsidP="00BF2303">
      <w:pPr>
        <w:pStyle w:val="BodyText"/>
        <w:numPr>
          <w:ilvl w:val="0"/>
          <w:numId w:val="1"/>
        </w:numPr>
        <w:rPr>
          <w:rFonts w:asciiTheme="majorBidi" w:hAnsiTheme="majorBidi" w:cstheme="majorBidi"/>
          <w:szCs w:val="24"/>
          <w:rtl/>
        </w:rPr>
      </w:pPr>
      <w:r w:rsidRPr="008574C2">
        <w:rPr>
          <w:rFonts w:asciiTheme="majorBidi" w:hAnsiTheme="majorBidi" w:cstheme="majorBidi"/>
          <w:szCs w:val="24"/>
          <w:rtl/>
        </w:rPr>
        <w:t>"על חוזה הביטוח, על הפוליסה ועל מה שביניהם" שערי משפט ו'  121 (2013)</w:t>
      </w:r>
    </w:p>
    <w:p w:rsidR="008574C2" w:rsidRPr="008574C2" w:rsidRDefault="008574C2" w:rsidP="00BF2303">
      <w:pPr>
        <w:pStyle w:val="BodyText"/>
        <w:numPr>
          <w:ilvl w:val="0"/>
          <w:numId w:val="1"/>
        </w:numPr>
        <w:rPr>
          <w:rFonts w:asciiTheme="majorBidi" w:hAnsiTheme="majorBidi" w:cstheme="majorBidi"/>
          <w:szCs w:val="24"/>
          <w:rtl/>
        </w:rPr>
      </w:pPr>
      <w:r w:rsidRPr="008574C2">
        <w:rPr>
          <w:rFonts w:asciiTheme="majorBidi" w:hAnsiTheme="majorBidi" w:cstheme="majorBidi"/>
          <w:szCs w:val="24"/>
          <w:rtl/>
        </w:rPr>
        <w:t>"הריון  בעוולה",  משפחה במשפט כרך ג-ד ,97 (2011).</w:t>
      </w:r>
    </w:p>
    <w:p w:rsidR="00BF2303" w:rsidRDefault="008574C2" w:rsidP="00BF2303">
      <w:pPr>
        <w:pStyle w:val="BodyText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8574C2">
        <w:rPr>
          <w:rFonts w:asciiTheme="majorBidi" w:hAnsiTheme="majorBidi" w:cstheme="majorBidi"/>
          <w:szCs w:val="24"/>
          <w:rtl/>
        </w:rPr>
        <w:t>"מהו ביטוח תאונות אישיות ומתי מתרחשת התאונה",  עלי משפט ח' 427, (2010)</w:t>
      </w:r>
    </w:p>
    <w:p w:rsidR="008574C2" w:rsidRPr="00FF64A0" w:rsidRDefault="008574C2" w:rsidP="00BF2303">
      <w:pPr>
        <w:pStyle w:val="BodyText"/>
        <w:numPr>
          <w:ilvl w:val="0"/>
          <w:numId w:val="1"/>
        </w:numPr>
        <w:rPr>
          <w:rFonts w:asciiTheme="majorBidi" w:hAnsiTheme="majorBidi" w:cstheme="majorBidi"/>
          <w:sz w:val="22"/>
          <w:szCs w:val="22"/>
        </w:rPr>
      </w:pPr>
      <w:r w:rsidRPr="00FF64A0">
        <w:rPr>
          <w:rFonts w:asciiTheme="majorBidi" w:hAnsiTheme="majorBidi" w:cstheme="majorBidi"/>
          <w:sz w:val="22"/>
          <w:szCs w:val="22"/>
          <w:rtl/>
        </w:rPr>
        <w:t>"המוציא ממבטחו עליו הראיה - על נטל ההוכחה בת</w:t>
      </w:r>
      <w:r w:rsidR="00FF64A0">
        <w:rPr>
          <w:rFonts w:asciiTheme="majorBidi" w:hAnsiTheme="majorBidi" w:cstheme="majorBidi"/>
          <w:sz w:val="22"/>
          <w:szCs w:val="22"/>
          <w:rtl/>
        </w:rPr>
        <w:t>ביעה לתגמולי ביטוח", הפרקליט מה</w:t>
      </w:r>
      <w:r w:rsidRPr="00FF64A0">
        <w:rPr>
          <w:rFonts w:asciiTheme="majorBidi" w:hAnsiTheme="majorBidi" w:cstheme="majorBidi"/>
          <w:sz w:val="22"/>
          <w:szCs w:val="22"/>
          <w:rtl/>
        </w:rPr>
        <w:t xml:space="preserve">, </w:t>
      </w:r>
      <w:r w:rsidR="00351BD1" w:rsidRPr="00FF64A0">
        <w:rPr>
          <w:rFonts w:asciiTheme="majorBidi" w:hAnsiTheme="majorBidi" w:cstheme="majorBidi"/>
          <w:sz w:val="22"/>
          <w:szCs w:val="22"/>
          <w:rtl/>
        </w:rPr>
        <w:t xml:space="preserve">  243,  (2001)</w:t>
      </w:r>
    </w:p>
    <w:p w:rsidR="008574C2" w:rsidRPr="008574C2" w:rsidRDefault="008574C2" w:rsidP="008574C2">
      <w:pPr>
        <w:bidi/>
        <w:jc w:val="left"/>
        <w:rPr>
          <w:b/>
          <w:bCs/>
          <w:rtl/>
        </w:rPr>
      </w:pPr>
    </w:p>
    <w:sectPr w:rsidR="008574C2" w:rsidRPr="008574C2" w:rsidSect="00DA35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664EC"/>
    <w:multiLevelType w:val="hybridMultilevel"/>
    <w:tmpl w:val="DFA8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B5B69"/>
    <w:multiLevelType w:val="hybridMultilevel"/>
    <w:tmpl w:val="1FC2D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6EC8"/>
    <w:rsid w:val="000A0951"/>
    <w:rsid w:val="000D2134"/>
    <w:rsid w:val="002A6140"/>
    <w:rsid w:val="00302E50"/>
    <w:rsid w:val="00351BD1"/>
    <w:rsid w:val="00645857"/>
    <w:rsid w:val="006C6EC8"/>
    <w:rsid w:val="00772A92"/>
    <w:rsid w:val="007B4621"/>
    <w:rsid w:val="007D5B9C"/>
    <w:rsid w:val="008574C2"/>
    <w:rsid w:val="00BF2303"/>
    <w:rsid w:val="00DA357B"/>
    <w:rsid w:val="00F15CDC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726C93-0F1D-4472-B642-A84ECD22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he-IL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EC8"/>
    <w:pPr>
      <w:spacing w:after="0"/>
    </w:pPr>
  </w:style>
  <w:style w:type="paragraph" w:styleId="BodyText">
    <w:name w:val="Body Text"/>
    <w:basedOn w:val="Normal"/>
    <w:link w:val="BodyTextChar"/>
    <w:rsid w:val="008574C2"/>
    <w:pPr>
      <w:bidi/>
      <w:spacing w:after="0"/>
      <w:jc w:val="left"/>
    </w:pPr>
    <w:rPr>
      <w:rFonts w:ascii="Times New Roman" w:eastAsia="Times New Roman" w:hAnsi="Times New Roman" w:cs="Narkisim"/>
      <w:szCs w:val="28"/>
    </w:rPr>
  </w:style>
  <w:style w:type="character" w:customStyle="1" w:styleId="BodyTextChar">
    <w:name w:val="Body Text Char"/>
    <w:basedOn w:val="DefaultParagraphFont"/>
    <w:link w:val="BodyText"/>
    <w:rsid w:val="008574C2"/>
    <w:rPr>
      <w:rFonts w:ascii="Times New Roman" w:eastAsia="Times New Roman" w:hAnsi="Times New Roman" w:cs="Narkisim"/>
      <w:szCs w:val="28"/>
    </w:rPr>
  </w:style>
  <w:style w:type="paragraph" w:styleId="ListParagraph">
    <w:name w:val="List Paragraph"/>
    <w:basedOn w:val="Normal"/>
    <w:uiPriority w:val="34"/>
    <w:qFormat/>
    <w:rsid w:val="00BF2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2F9DC-F3AB-4E1C-A6AF-E35D1ED4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hermanas</dc:creator>
  <cp:lastModifiedBy>oded luft</cp:lastModifiedBy>
  <cp:revision>2</cp:revision>
  <dcterms:created xsi:type="dcterms:W3CDTF">2017-08-30T22:19:00Z</dcterms:created>
  <dcterms:modified xsi:type="dcterms:W3CDTF">2017-08-30T22:19:00Z</dcterms:modified>
</cp:coreProperties>
</file>